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41 vom 11. August 2022</w:t>
      </w:r>
    </w:p>
    <w:p>
      <w:r>
        <w:t>VS Kantonsgericht, 2022-08-11, FR</w:t>
      </w:r>
    </w:p>
    <w:p>
      <w:r>
        <w:rPr>
          <w:b/>
        </w:rPr>
        <w:t xml:space="preserve">Quelle: </w:t>
      </w:r>
      <w:r>
        <w:t>https://mcp.opencaselaw.ch/entscheid/vs_gerichte_S2 20 41</w:t>
      </w:r>
    </w:p>
    <w:p>
      <w:r>
        <w:t>FR: VS_GERICHTE S2 20 41 du 11 août 2022</w:t>
      </w:r>
    </w:p>
    <w:p>
      <w:r>
        <w:t>IT: VS_GERICHTE S2 20 41 del 11 agosto 2022</w:t>
      </w:r>
    </w:p>
    <w:p>
      <w:pPr>
        <w:pStyle w:val="Heading2"/>
      </w:pPr>
      <w:r>
        <w:t>Regeste</w:t>
      </w:r>
    </w:p>
    <w:p>
      <w:r>
        <w:t>S2 20 41 JUGEMENT DU 11 AOÛT 2022 Tribunal cantonal du Valais Cour des assurances sociales Composition : Candido Prada, président ; Thomas Brunner et Christophe Joris, juges ; Delphine Rey, greffière en la cause X _________, recourant, représenté par Maître Michel Zen Ruffinen, avocat, 1971 Grimisuat contre CAISSE NATIONALE SUISSE D'ASSURANCE EN CAS D'ACCIDENTS (CNA), 6002 Lucerne, intimée (causalité naturelle, valeur probante d’un rapport médical)</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6 juillet 2020, le présent recours à l'encontre de la décision sur opposition du 4 juin 2020 a été interjeté dans le délai légal de trente jours (art. 60 LPGA) et devant la Cour de céans, compétente à raison du lieu et de la matière (art. 56, 57 et 58 LPGA; art. 81a al. 1 LPJA). Il répond par ailleurs aux autres conditions formelles de recevabilité (art. 61 let. b LPGA), de sorte qu’il convient d’entrer en matière.</w:t>
      </w:r>
    </w:p>
    <w:p>
      <w:r>
        <w:rPr>
          <w:b/>
        </w:rPr>
        <w:t>E. 2</w:t>
      </w:r>
    </w:p>
    <w:p>
      <w:r>
        <w:t>Le litige porte sur le droit du recourant à des prestations d’assurance en lien avec l’événement du 17 avril 2019.</w:t>
      </w:r>
    </w:p>
    <w:p>
      <w:r>
        <w:rPr>
          <w:b/>
        </w:rPr>
        <w:t>E. 2.1</w:t>
      </w:r>
    </w:p>
    <w:p>
      <w:r>
        <w:t>Selon l’article 6 alinéa 1 LAA, les prestations d’assurance sont allouées en cas d’accident professionnel, d’accident non professionnel et de maladie professionnelle.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contexte de la</w:t>
      </w:r>
    </w:p>
    <w:p>
      <w:r>
        <w:t>- 8 - suppression du droit à des prestations, le fardeau de la preuve appartient à l’assureur, alors qu’il incombe à la personne assurée de prouver l’existence d’un lien de causalité (arrêt 8C_614/2019 du 29 janvier 2020 consid. 6.2, RAMA 2000 n° U 363 p. 46 consid. 2 et la référence).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(arrêt 8C_441/2017 du 6 juin 2018 consid. 3.2).</w:t>
      </w:r>
    </w:p>
    <w:p>
      <w:r>
        <w:rPr>
          <w:b/>
        </w:rPr>
        <w:t>E. 2.2</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p. 352 ; arrêt 8C_75/2017du 24 octobre 2017 consid. 3.4 et les références). Par ailleurs,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9C_794/2008 du 21 août 2009 consid. 2.3 et la référence). En présence d’avis médicaux contradictoires, le juge doit apprécier l’ensemble des preuves à disposition et indiquer les motifs pour lesquels il se fonde sur une appréciation plutôt que sur une autre.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w:t>
      </w:r>
    </w:p>
    <w:p>
      <w:r>
        <w:t>- 9 - thérapeutique et un mandat d'expertise (ATF 124 I 170 consid. 4 ; arrêt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9C_876/2009 du 6 juillet 2010 consid. 2.2).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160 consid. 1c et les références). Quant aux rapports émanant des médecins traitants, le juge peut et doit même tenir compte du fait relevant de l'expérience que, de par sa position de confident privilégié que lui confère son mandat, le médecin traitant tranchera dans le doute en faveur de son patient (ATF 125 V 351 consid. 3b/cc et les références).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w:t>
      </w:r>
    </w:p>
    <w:p>
      <w:r>
        <w:rPr>
          <w:b/>
        </w:rPr>
        <w:t>E. 3</w:t>
      </w:r>
    </w:p>
    <w:p>
      <w:r>
        <w:t>En l’espèce, l’intimée a considéré, sur la base de l’appréciation du 14 avril 2020 de son médecin-conseil, que les troubles pour lesquels le recourant a consulté dès le</w:t>
      </w:r>
    </w:p>
    <w:p>
      <w:r>
        <w:t>- 10 - 20 avril 2019 n’étaient pas en lien de causalité certain, ou du moins vraisemblable, avec l’événement du 17 avril 2019. Le recourant conteste ceci. La Cour considère que l’appréciation du 14 avril 2020 du Dr J _________ remplit les critères posés par la jurisprudence pour la valeur probante d’un rapport médical. Ce spécialiste a d’abord résumé la teneur des éléments au dossier. Il a interprété les clichés radiologiques (scanners et IRM) à sa disposition et pris en considération les compte- rendus y relatifs. Il a ensuite apprécié la situation médicale de manière claire et sans contradiction et a finalement dûment motivé ses conclusions. Il a retenu que le recourant avait été victime tout au plus d’un traumatisme crânio-cérébral léger dès lors que l’imagerie médicale n’avait pas démontré de lésion cérébrale structurelle objectivable, que l’assuré présentait une atrophie cérébrale symétrique, à prédominance fronto- pariétale, préexistante, une hypertension artérielle avec des lésions organiques telles qu’une plaque d’athérosclérose au niveau de l’artère carotide commune gauche et des hypersignaux de la substance blanche, probablement d’origine vasculaire ainsi qu’un niveau d’angoisse élevé, en relation probable avec les difficultés financières de son entreprise. L’absence d’examen personnel du recourant ne remet pas en doute la valeur probante de son appréciation dès lors que le dossier à sa disposition contient des rapports de médecins ayant personnellement vu le recourant (Drs G _________, H _________, etc.). On soulignera que le recourant a subi de nombreux examens radiologiques et notamment une IRM cérébrale qui a permis d’exclure la présence d’une lésion post- traumatique et qui a mis en évidence un discret élargissement des espaces sous- arachnoïdiens supratentoriels et quelques foyers d’anomalie de signal de la substance blanche bi-hémisphérique, vraisemblablement en rapport à une leucoencéphalopathie vasculaire. Les arguments soulevés par le recourant ne sont pas de nature à mettre en doute les conclusions du Dr J _________ : D’une part, les troubles du recourant ainsi que leur apparition après l’événement du 17 avril 2019 ne sont pas contestés par l’intimée. Toutefois, ceci ne signifie pas encore que les plaintes alléguées sont en lien de causalité avec l’événement en question. En effet, le recourant se fonde sur le raisonnement du type « post hoc ergo propter hoc » (après l'accident, donc à cause de l'accident) insuffisant à établir un lien de causalité naturelle avec l’accident (supra. consid 2.1), comme l’intimée l’a déjà précisé dans sa décision du 4 juin 2020. En outre, il ne ressort pas du dossier que les médecins consultés</w:t>
      </w:r>
    </w:p>
    <w:p>
      <w:r>
        <w:t>- 11 - par le recourant auraient retenu un lien de causalité certain ou du moins vraisemblable entre les plaintes alléguées et l’événement du 17 avril 2019. Au contraire, le médecin traitant du recourant, le Dr G _________, a indiqué qu’il partageait les conclusions du Dr J _________ et que le cas ne relevait pas de la compétence de l’intimée (cf. avis du 28 mai 2020, rapport du 7 juin 2020). De son côté, le neurologue, le Dr H _________, a évoqué la possibilité d’une origine post-traumatique des troubles du recourant. Il a cependant indiqué qu’une IRM cérébrale devait être effectuée afin de clarifier le diagnostic, laquelle a finalement permis d’exclure la présence d’une lésion post- traumatique. On rappellera que la simple possibilité de l’existence d’un rapport de cause à effet entre l’événement en question et les plaintes, telle qu’exprimé par le Dr H _________, n’aurait de toute manière pas suffit pour reconnaître le droit à des prestations (supra consid. 2.1). D’autre part, les examens pratiqués après la décision attaquée n’apportent pas d’élément objectif nouveau susceptible de remettre en question les conclusions exposées par le Dr J _________ dans son avis du 14 avril 2020. S’il est vrai que la radiologue a constaté un épaississement du périoste de l’os pariétal droit à l’échographie du scalp du 18 juin 2020 et qu’elle a émis l’hypothèse d’une séquelle post-traumatique, cette dernière a toutefois pu être écartée au moyen du CT-scan cérébral du 7 juillet suivant, dès lors qu’aucune séquelle de fracture n’a été mise en évidence. Cet examen a montré un lipome, c’est-à-dire une tumeur bénigne issue du tissu graisseux. La Cour ne voit pas de raison de s’écarter de la conclusion du Dr J _________ contenue dans son appréciation du 16 octobre 2020, selon laquelle il n’existe pas de lien de causalité entre la découverte au CT-scan cérébral du 7 juillet 2020 et l’événement du 17 avril 2019 dans la mesure où la tuméfaction extra-crânienne n’a pas de contact direct avec le cerveau et n’est par conséquent pas susceptible d’entraver le fonctionnement de ce dernier. Le recourant ne prétend d’ailleurs par le contraire. En conséquence, le recourant a échoué à démontrer, au degré de la vraisemblance prépondérante, l’existence d’un lien de causalité naturelle entre les plaintes alléguées et l’événement du 17 avril 2019. Dès lors qu’il porte le fardeau de la preuve s’agissant du lien de causalité naturelle initiale, il y a lieu de rejeter le recours et de confirmer la décision attaquée.</w:t>
      </w:r>
    </w:p>
    <w:p>
      <w:r>
        <w:rPr>
          <w:b/>
        </w:rPr>
        <w:t>E. 4</w:t>
      </w:r>
    </w:p>
    <w:p>
      <w:r>
        <w:t>Il n’est pas perçu de frais (art. 61 let. a aLPGA, art. 83 LPGA), ni alloué de dépens (art. 61 let. g LPGA a contrario).</w:t>
      </w:r>
    </w:p>
    <w:p>
      <w:r>
        <w:t>- 12 -</w:t>
      </w:r>
    </w:p>
    <w:p>
      <w:r>
        <w:t>Prononce</w:t>
      </w:r>
    </w:p>
    <w:p>
      <w:r>
        <w:t>1. Le recours est rejeté. 2. Il n'est pas perçu de frais, ni alloué de dépens.</w:t>
      </w:r>
    </w:p>
    <w:p>
      <w:r>
        <w:t>Sion, le 11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